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Manpreet kaur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7367, 149 a street , bc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6043386701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gollanman@gmail.com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Bsc Nursing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(2011-2015 )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MADS​</w:t>
      </w:r>
      <w:r w:rsidDel="00000000" w:rsidR="00000000" w:rsidRPr="00000000">
        <w:rPr>
          <w:sz w:val="22"/>
          <w:szCs w:val="22"/>
          <w:rtl w:val="0"/>
        </w:rPr>
        <w:t xml:space="preserve"> : Fairleigh Dickinson University, Vancouver, BC (May 2018 – December 2019)) 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Work </w:t>
      </w: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Kd hospital from (2015 to 2016) as a staff nurse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Sukhmani clinic( 2017) as a staff nurse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 Food court hula from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tl w:val="0"/>
        </w:rPr>
        <w:t xml:space="preserve">2018 to 2019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cash out, taking  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Amazon warehouse experience inbound receiver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Skills include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Strong Work Ethic.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Positive Attitude.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Good Communication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Time Management Abilities.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Problem-Solving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Acting as a Team Player.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Self-Confidence.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Ability to Accept and Learn From Criticism.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Active Listening.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Computer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Interpersonal skills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llan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